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pPr>
        <w:autoSpaceDE w:val="0"/>
        <w:autoSpaceDN w:val="0"/>
        <w:spacing w:line="360" w:lineRule="auto"/>
        <w:ind w:left="-240" w:leftChars="-100" w:firstLine="194" w:firstLineChars="54"/>
        <w:jc w:val="center"/>
        <w:rPr>
          <w:rFonts w:hint="default" w:ascii="宋体" w:hAnsi="宋体" w:eastAsia="宋体" w:cs="宋体"/>
          <w:b w:val="0"/>
          <w:bCs w:val="0"/>
          <w:kern w:val="1"/>
          <w:sz w:val="36"/>
          <w:szCs w:val="36"/>
          <w:highlight w:val="none"/>
          <w:lang w:val="en-US" w:eastAsia="zh-CN" w:bidi="ar-SA"/>
        </w:rPr>
      </w:pPr>
      <w:r>
        <w:rPr>
          <w:rFonts w:hint="eastAsia" w:ascii="宋体" w:hAnsi="宋体" w:cs="宋体"/>
          <w:b w:val="0"/>
          <w:bCs w:val="0"/>
          <w:kern w:val="1"/>
          <w:sz w:val="36"/>
          <w:szCs w:val="36"/>
          <w:highlight w:val="none"/>
          <w:lang w:val="en-US" w:eastAsia="zh-CN"/>
        </w:rPr>
        <w:t>隔离配电器\F1-AI1-C0CC</w:t>
      </w:r>
      <w:r>
        <w:rPr>
          <w:rFonts w:hint="eastAsia" w:ascii="宋体" w:hAnsi="宋体" w:eastAsia="宋体" w:cs="宋体"/>
          <w:b w:val="0"/>
          <w:bCs w:val="0"/>
          <w:kern w:val="1"/>
          <w:sz w:val="36"/>
          <w:szCs w:val="36"/>
          <w:highlight w:val="none"/>
          <w:lang w:val="en-US" w:eastAsia="zh-CN" w:bidi="ar-SA"/>
        </w:rPr>
        <w:t>（70075274）</w:t>
      </w:r>
    </w:p>
    <w:p>
      <w:pPr>
        <w:snapToGrid w:val="0"/>
        <w:spacing w:line="360" w:lineRule="auto"/>
        <w:ind w:right="-447"/>
        <w:jc w:val="center"/>
        <w:rPr>
          <w:rFonts w:hint="eastAsia" w:ascii="仿宋" w:hAnsi="仿宋" w:eastAsia="仿宋" w:cs="仿宋"/>
          <w:b/>
          <w:color w:val="auto"/>
          <w:sz w:val="36"/>
          <w:szCs w:val="48"/>
          <w:highlight w:val="none"/>
        </w:rPr>
      </w:pPr>
      <w:r>
        <w:rPr>
          <w:rFonts w:hint="eastAsia" w:ascii="仿宋" w:hAnsi="仿宋" w:eastAsia="仿宋" w:cs="仿宋"/>
          <w:b w:val="0"/>
          <w:bCs w:val="0"/>
          <w:color w:val="auto"/>
          <w:sz w:val="36"/>
          <w:szCs w:val="48"/>
          <w:highlight w:val="none"/>
        </w:rPr>
        <w:t>采购技术</w:t>
      </w:r>
      <w:r>
        <w:rPr>
          <w:rFonts w:hint="eastAsia" w:ascii="仿宋" w:hAnsi="仿宋" w:eastAsia="仿宋" w:cs="仿宋"/>
          <w:b w:val="0"/>
          <w:bCs w:val="0"/>
          <w:color w:val="auto"/>
          <w:sz w:val="36"/>
          <w:szCs w:val="48"/>
          <w:highlight w:val="none"/>
          <w:lang w:val="en-US" w:eastAsia="zh-CN"/>
        </w:rPr>
        <w:t>标准</w:t>
      </w:r>
    </w:p>
    <w:p>
      <w:pPr>
        <w:snapToGrid w:val="0"/>
        <w:spacing w:line="360" w:lineRule="auto"/>
        <w:ind w:right="-447"/>
        <w:jc w:val="center"/>
        <w:rPr>
          <w:rFonts w:hint="eastAsia" w:ascii="仿宋" w:hAnsi="仿宋" w:eastAsia="仿宋" w:cs="仿宋"/>
          <w:b/>
          <w:color w:val="auto"/>
          <w:sz w:val="36"/>
          <w:szCs w:val="48"/>
          <w:highlight w:val="none"/>
        </w:rPr>
      </w:pPr>
    </w:p>
    <w:p>
      <w:pPr>
        <w:pStyle w:val="2"/>
        <w:rPr>
          <w:rFonts w:hint="eastAsia" w:ascii="仿宋" w:hAnsi="仿宋" w:eastAsia="仿宋" w:cs="仿宋"/>
          <w:color w:val="auto"/>
          <w:highlight w:val="none"/>
        </w:rPr>
      </w:pPr>
    </w:p>
    <w:p>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pPr>
        <w:widowControl/>
        <w:spacing w:before="100" w:beforeAutospacing="1" w:after="100" w:afterAutospacing="1" w:line="360" w:lineRule="auto"/>
        <w:ind w:right="72" w:rightChars="30" w:firstLine="6023" w:firstLineChars="2000"/>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日</w:t>
      </w:r>
    </w:p>
    <w:p>
      <w:pPr>
        <w:spacing w:line="360" w:lineRule="auto"/>
        <w:rPr>
          <w:rFonts w:hint="eastAsia" w:ascii="仿宋" w:hAnsi="仿宋" w:eastAsia="仿宋" w:cs="仿宋"/>
          <w:bCs/>
          <w:color w:val="auto"/>
          <w:highlight w:val="none"/>
        </w:rPr>
      </w:pPr>
    </w:p>
    <w:p>
      <w:pPr>
        <w:spacing w:line="360" w:lineRule="auto"/>
        <w:ind w:firstLine="3791" w:firstLineChars="1049"/>
        <w:rPr>
          <w:rFonts w:hint="eastAsia" w:ascii="仿宋" w:hAnsi="仿宋" w:eastAsia="仿宋" w:cs="仿宋"/>
          <w:b/>
          <w:color w:val="auto"/>
          <w:sz w:val="36"/>
          <w:szCs w:val="36"/>
          <w:highlight w:val="none"/>
        </w:rPr>
      </w:pPr>
    </w:p>
    <w:p>
      <w:pPr>
        <w:spacing w:line="360" w:lineRule="auto"/>
        <w:ind w:firstLine="3791" w:firstLineChars="1049"/>
        <w:rPr>
          <w:rFonts w:hint="eastAsia" w:ascii="仿宋" w:hAnsi="仿宋" w:eastAsia="仿宋" w:cs="仿宋"/>
          <w:b/>
          <w:color w:val="auto"/>
          <w:sz w:val="36"/>
          <w:szCs w:val="36"/>
          <w:highlight w:val="none"/>
        </w:rPr>
      </w:pPr>
    </w:p>
    <w:p>
      <w:pPr>
        <w:spacing w:line="360" w:lineRule="auto"/>
        <w:ind w:firstLine="3791" w:firstLineChars="1049"/>
        <w:rPr>
          <w:rFonts w:hint="eastAsia" w:ascii="仿宋" w:hAnsi="仿宋" w:eastAsia="仿宋" w:cs="仿宋"/>
          <w:b/>
          <w:color w:val="auto"/>
          <w:sz w:val="36"/>
          <w:szCs w:val="36"/>
          <w:highlight w:val="none"/>
        </w:rPr>
      </w:pPr>
    </w:p>
    <w:p>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360" w:lineRule="auto"/>
        <w:ind w:firstLine="3791" w:firstLineChars="1049"/>
        <w:rPr>
          <w:rFonts w:hint="eastAsia" w:ascii="仿宋" w:hAnsi="仿宋" w:eastAsia="仿宋" w:cs="仿宋"/>
          <w:b/>
          <w:color w:val="auto"/>
          <w:sz w:val="36"/>
          <w:szCs w:val="36"/>
          <w:highlight w:val="none"/>
        </w:rPr>
      </w:pP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（以下称乙方）就甲方隔离配电器\F1-AI1-C0CC采购经双方协商，达成如下技术</w:t>
      </w:r>
      <w:r>
        <w:rPr>
          <w:rFonts w:hint="eastAsia" w:ascii="仿宋" w:hAnsi="仿宋" w:eastAsia="仿宋" w:cs="仿宋"/>
          <w:color w:val="auto"/>
          <w:sz w:val="21"/>
          <w:szCs w:val="21"/>
          <w:highlight w:val="none"/>
          <w:lang w:eastAsia="zh-CN"/>
        </w:rPr>
        <w:t>标准</w:t>
      </w:r>
      <w:r>
        <w:rPr>
          <w:rFonts w:hint="eastAsia" w:ascii="仿宋" w:hAnsi="仿宋" w:eastAsia="仿宋" w:cs="仿宋"/>
          <w:color w:val="auto"/>
          <w:sz w:val="21"/>
          <w:szCs w:val="21"/>
          <w:highlight w:val="none"/>
        </w:rPr>
        <w:t>：</w:t>
      </w:r>
    </w:p>
    <w:p>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w:t>
      </w:r>
      <w:bookmarkStart w:id="1" w:name="_GoBack"/>
      <w:bookmarkEnd w:id="1"/>
      <w:r>
        <w:rPr>
          <w:rFonts w:hint="eastAsia" w:ascii="仿宋" w:hAnsi="仿宋" w:eastAsia="仿宋" w:cs="仿宋"/>
          <w:color w:val="auto"/>
          <w:sz w:val="21"/>
          <w:szCs w:val="21"/>
          <w:highlight w:val="none"/>
          <w:lang w:eastAsia="zh-CN"/>
        </w:rPr>
        <w:t>标准</w:t>
      </w:r>
      <w:r>
        <w:rPr>
          <w:rFonts w:hint="eastAsia" w:ascii="仿宋" w:hAnsi="仿宋" w:eastAsia="仿宋" w:cs="仿宋"/>
          <w:color w:val="auto"/>
          <w:sz w:val="21"/>
          <w:szCs w:val="21"/>
          <w:highlight w:val="none"/>
        </w:rPr>
        <w:t>作为甲方设备订货合同的附件，与订货合同同时生效，具有同等法律效力。合同执行期间双方再协商形成的补充</w:t>
      </w:r>
      <w:r>
        <w:rPr>
          <w:rFonts w:hint="eastAsia" w:ascii="仿宋" w:hAnsi="仿宋" w:eastAsia="仿宋" w:cs="仿宋"/>
          <w:color w:val="auto"/>
          <w:sz w:val="21"/>
          <w:szCs w:val="21"/>
          <w:highlight w:val="none"/>
          <w:lang w:eastAsia="zh-CN"/>
        </w:rPr>
        <w:t>标准</w:t>
      </w:r>
      <w:r>
        <w:rPr>
          <w:rFonts w:hint="eastAsia" w:ascii="仿宋" w:hAnsi="仿宋" w:eastAsia="仿宋" w:cs="仿宋"/>
          <w:color w:val="auto"/>
          <w:sz w:val="21"/>
          <w:szCs w:val="21"/>
          <w:highlight w:val="none"/>
        </w:rPr>
        <w:t>和追加条款也具有同等法律效力。</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w:t>
      </w:r>
      <w:r>
        <w:rPr>
          <w:rFonts w:hint="eastAsia" w:ascii="仿宋" w:hAnsi="仿宋" w:eastAsia="仿宋" w:cs="仿宋"/>
          <w:color w:val="auto"/>
          <w:sz w:val="21"/>
          <w:szCs w:val="21"/>
          <w:highlight w:val="none"/>
          <w:lang w:eastAsia="zh-CN"/>
        </w:rPr>
        <w:t>标准</w:t>
      </w:r>
      <w:r>
        <w:rPr>
          <w:rFonts w:hint="eastAsia" w:ascii="仿宋" w:hAnsi="仿宋" w:eastAsia="仿宋" w:cs="仿宋"/>
          <w:color w:val="auto"/>
          <w:sz w:val="21"/>
          <w:szCs w:val="21"/>
          <w:highlight w:val="none"/>
        </w:rPr>
        <w:t>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乙方提供货物的制造、材料的选择，都应按照国内外通用的现行标准和相应的技术规范执行，而这些标准和技术规范应为合同签字日为止最新公布的标准和技术规范</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1.5乙方须对此备件的完整性、合理性和设计质量承担全部责任。保证设备满足系统工艺要求。</w:t>
      </w:r>
    </w:p>
    <w:p>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1.7乙方在投标前，按照本技术标准所规定的技术参数与甲方技术人员充分技术交流，并签订标签技术标准后，方可具备投标资质参标。</w:t>
      </w:r>
    </w:p>
    <w:p>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val="en-US" w:eastAsia="zh-CN"/>
        </w:rPr>
        <w:t>隔离配电器\F1-AI1-C0CC</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1#高炉</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0℃</w:t>
      </w:r>
      <w:r>
        <w:rPr>
          <w:rFonts w:hint="eastAsia" w:ascii="仿宋" w:hAnsi="仿宋" w:eastAsia="仿宋" w:cs="仿宋"/>
          <w:color w:val="auto"/>
          <w:sz w:val="21"/>
          <w:szCs w:val="21"/>
          <w:highlight w:val="none"/>
        </w:rPr>
        <w:t>。海拔1640米。</w:t>
      </w:r>
    </w:p>
    <w:p>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w:t>
      </w:r>
      <w:r>
        <w:rPr>
          <w:rFonts w:hint="eastAsia" w:ascii="仿宋" w:hAnsi="仿宋" w:eastAsia="仿宋" w:cs="仿宋"/>
          <w:color w:val="auto"/>
          <w:sz w:val="21"/>
          <w:szCs w:val="21"/>
          <w:highlight w:val="none"/>
          <w:lang w:eastAsia="zh-CN"/>
        </w:rPr>
        <w:t>相关</w:t>
      </w:r>
      <w:r>
        <w:rPr>
          <w:rFonts w:hint="eastAsia" w:ascii="仿宋" w:hAnsi="仿宋" w:eastAsia="仿宋" w:cs="仿宋"/>
          <w:color w:val="auto"/>
          <w:sz w:val="21"/>
          <w:szCs w:val="21"/>
          <w:highlight w:val="none"/>
        </w:rPr>
        <w:t>标准。</w:t>
      </w:r>
    </w:p>
    <w:p>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pPr>
        <w:pStyle w:val="12"/>
        <w:spacing w:before="0" w:beforeLines="0" w:beforeAutospacing="0" w:after="0" w:afterLines="0" w:afterAutospacing="0" w:line="360" w:lineRule="auto"/>
        <w:ind w:firstLine="420" w:firstLineChars="200"/>
        <w:jc w:val="both"/>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电源电压：24VDC±10%</w:t>
      </w:r>
    </w:p>
    <w:p>
      <w:pPr>
        <w:pStyle w:val="12"/>
        <w:spacing w:before="0" w:beforeLines="0" w:beforeAutospacing="0" w:after="0" w:afterLines="0" w:afterAutospacing="0" w:line="360" w:lineRule="auto"/>
        <w:ind w:firstLine="420" w:firstLineChars="200"/>
        <w:jc w:val="both"/>
        <w:rPr>
          <w:rFonts w:hint="default"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电源指示：通电时绿色LED电源灯亮</w:t>
      </w:r>
    </w:p>
    <w:p>
      <w:pPr>
        <w:spacing w:line="360" w:lineRule="auto"/>
        <w:ind w:left="418" w:leftChars="174"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eastAsia="zh-CN"/>
        </w:rPr>
        <w:t>主要技术要求</w:t>
      </w:r>
    </w:p>
    <w:p>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1.接线方式与现场设备必须相匹配。</w:t>
      </w:r>
    </w:p>
    <w:p>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2.乙方对所有备件的设计、加工质量、完整性、可靠性负责。</w:t>
      </w:r>
    </w:p>
    <w:p>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3.乙方在中标后十天内将正确的纸版和电子版如下资料提供给甲方。</w:t>
      </w:r>
    </w:p>
    <w:p>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4.质保期内出现的装置质量问题，乙方免费更换。</w:t>
      </w:r>
    </w:p>
    <w:p>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5.质保期内出现的问题，乙方应积极派遣技术人员到现场配合解决。</w:t>
      </w:r>
    </w:p>
    <w:p>
      <w:pPr>
        <w:spacing w:line="360" w:lineRule="auto"/>
        <w:ind w:firstLine="411" w:firstLineChars="196"/>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6.随机资料：质检报告、出厂合格证、注意事项说明书。</w:t>
      </w:r>
    </w:p>
    <w:p>
      <w:pPr>
        <w:spacing w:line="360" w:lineRule="auto"/>
        <w:ind w:firstLine="478" w:firstLineChars="228"/>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 xml:space="preserve">                               </w:t>
      </w:r>
    </w:p>
    <w:p>
      <w:pPr>
        <w:spacing w:line="360" w:lineRule="auto"/>
        <w:ind w:firstLine="4464" w:firstLineChars="2126"/>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图一</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p>
    <w:tbl>
      <w:tblPr>
        <w:tblStyle w:val="13"/>
        <w:tblW w:w="4998" w:type="pct"/>
        <w:tblInd w:w="0" w:type="dxa"/>
        <w:tblLayout w:type="autofit"/>
        <w:tblCellMar>
          <w:top w:w="0" w:type="dxa"/>
          <w:left w:w="108" w:type="dxa"/>
          <w:bottom w:w="0" w:type="dxa"/>
          <w:right w:w="108" w:type="dxa"/>
        </w:tblCellMar>
      </w:tblPr>
      <w:tblGrid>
        <w:gridCol w:w="597"/>
        <w:gridCol w:w="1159"/>
        <w:gridCol w:w="2395"/>
        <w:gridCol w:w="1190"/>
        <w:gridCol w:w="1649"/>
        <w:gridCol w:w="1218"/>
        <w:gridCol w:w="1364"/>
      </w:tblGrid>
      <w:tr>
        <w:tblPrEx>
          <w:tblCellMar>
            <w:top w:w="0" w:type="dxa"/>
            <w:left w:w="108" w:type="dxa"/>
            <w:bottom w:w="0" w:type="dxa"/>
            <w:right w:w="108" w:type="dxa"/>
          </w:tblCellMar>
        </w:tblPrEx>
        <w:trPr>
          <w:trHeight w:val="400" w:hRule="atLeast"/>
        </w:trPr>
        <w:tc>
          <w:tcPr>
            <w:tcW w:w="312"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0"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348" w:type="pct"/>
            <w:gridSpan w:val="2"/>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tblPrEx>
          <w:tblCellMar>
            <w:top w:w="0" w:type="dxa"/>
            <w:left w:w="108" w:type="dxa"/>
            <w:bottom w:w="0" w:type="dxa"/>
            <w:right w:w="108" w:type="dxa"/>
          </w:tblCellMar>
        </w:tblPrEx>
        <w:trPr>
          <w:trHeight w:val="400" w:hRule="atLeast"/>
        </w:trPr>
        <w:tc>
          <w:tcPr>
            <w:tcW w:w="312"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1250"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tblPrEx>
          <w:tblCellMar>
            <w:top w:w="0" w:type="dxa"/>
            <w:left w:w="108" w:type="dxa"/>
            <w:bottom w:w="0" w:type="dxa"/>
            <w:right w:w="108" w:type="dxa"/>
          </w:tblCellMar>
        </w:tblPrEx>
        <w:trPr>
          <w:trHeight w:val="573" w:hRule="atLeast"/>
        </w:trPr>
        <w:tc>
          <w:tcPr>
            <w:tcW w:w="312"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宋体" w:hAnsi="宋体" w:eastAsia="宋体" w:cs="宋体"/>
                <w:b w:val="0"/>
                <w:bCs w:val="0"/>
                <w:kern w:val="1"/>
                <w:sz w:val="20"/>
                <w:szCs w:val="20"/>
                <w:highlight w:val="none"/>
              </w:rPr>
              <w:t>70075274</w:t>
            </w:r>
          </w:p>
        </w:tc>
        <w:tc>
          <w:tcPr>
            <w:tcW w:w="1250" w:type="pct"/>
            <w:tcBorders>
              <w:top w:val="nil"/>
              <w:left w:val="nil"/>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隔离配电器\F1-AI1-C0CC</w:t>
            </w:r>
          </w:p>
        </w:tc>
        <w:tc>
          <w:tcPr>
            <w:tcW w:w="621" w:type="pct"/>
            <w:tcBorders>
              <w:top w:val="nil"/>
              <w:left w:val="nil"/>
              <w:bottom w:val="single" w:color="auto" w:sz="4" w:space="0"/>
              <w:right w:val="single" w:color="auto" w:sz="4" w:space="0"/>
            </w:tcBorders>
            <w:noWrap w:val="0"/>
            <w:vAlign w:val="center"/>
          </w:tcPr>
          <w:p>
            <w:pPr>
              <w:widowControl/>
              <w:spacing w:line="360" w:lineRule="auto"/>
              <w:ind w:firstLine="420" w:firstLineChars="200"/>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861" w:type="pct"/>
            <w:tcBorders>
              <w:top w:val="nil"/>
              <w:left w:val="nil"/>
              <w:bottom w:val="single" w:color="auto" w:sz="4" w:space="0"/>
              <w:right w:val="single" w:color="auto" w:sz="4" w:space="0"/>
            </w:tcBorders>
            <w:noWrap w:val="0"/>
            <w:vAlign w:val="center"/>
          </w:tcPr>
          <w:p>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711" w:type="pct"/>
            <w:tcBorders>
              <w:top w:val="nil"/>
              <w:left w:val="nil"/>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安装方式必须与现场安装尺寸一致，确保提供的隔离配电器与现场原装隔离配电器能够完全的备用和互换。</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此备件</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对安装、调试后，质保期内，设备精度达不到标准要求，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见商务合同</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7.1本标准内容经由甲乙双方于    年   月   日   时-  时通过   方式商定。 </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7.2甲乙双方应当就签订本标准的相关事宜保密，不得将签订主体、时间、内容等信息透露给其他第三人。</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7.3若乙方公司不能中标，则本技术标准自动失效，双方不承担任何责任。</w:t>
      </w:r>
    </w:p>
    <w:p>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w:t>
      </w:r>
      <w:r>
        <w:rPr>
          <w:rFonts w:hint="eastAsia" w:ascii="仿宋" w:hAnsi="仿宋" w:eastAsia="仿宋" w:cs="仿宋"/>
          <w:color w:val="auto"/>
          <w:sz w:val="21"/>
          <w:highlight w:val="none"/>
          <w:lang w:eastAsia="zh-CN"/>
        </w:rPr>
        <w:t>标准</w:t>
      </w:r>
      <w:r>
        <w:rPr>
          <w:rFonts w:hint="eastAsia" w:ascii="仿宋" w:hAnsi="仿宋" w:eastAsia="仿宋" w:cs="仿宋"/>
          <w:color w:val="auto"/>
          <w:sz w:val="21"/>
          <w:highlight w:val="none"/>
        </w:rPr>
        <w:t>一式四份，甲方三份，乙方一份。</w:t>
      </w:r>
    </w:p>
    <w:p>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rPr>
          <w:rFonts w:hint="eastAsia" w:ascii="仿宋" w:hAnsi="仿宋" w:eastAsia="仿宋" w:cs="仿宋"/>
          <w:color w:val="auto"/>
          <w:sz w:val="21"/>
          <w:szCs w:val="21"/>
          <w:highlight w:val="none"/>
        </w:rPr>
      </w:pPr>
    </w:p>
    <w:sectPr>
      <w:footerReference r:id="rId3" w:type="default"/>
      <w:pgSz w:w="11907" w:h="16840"/>
      <w:pgMar w:top="1440" w:right="1470" w:bottom="1440" w:left="1077" w:header="851" w:footer="99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jY0ZmZhNDY4ZmE2OWVhMjQwYTJiYTE2YTFmYTM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54BC"/>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26D7603"/>
    <w:rsid w:val="03DF3D4F"/>
    <w:rsid w:val="04155F67"/>
    <w:rsid w:val="045A41EA"/>
    <w:rsid w:val="04931259"/>
    <w:rsid w:val="08416F2D"/>
    <w:rsid w:val="0A502357"/>
    <w:rsid w:val="0AF75787"/>
    <w:rsid w:val="0C693DF6"/>
    <w:rsid w:val="0F6949B9"/>
    <w:rsid w:val="0F967054"/>
    <w:rsid w:val="0FA7334B"/>
    <w:rsid w:val="11AC1D80"/>
    <w:rsid w:val="11D76808"/>
    <w:rsid w:val="14A213F8"/>
    <w:rsid w:val="15B8653A"/>
    <w:rsid w:val="15C0276A"/>
    <w:rsid w:val="1763479D"/>
    <w:rsid w:val="17B55FF2"/>
    <w:rsid w:val="18A90670"/>
    <w:rsid w:val="190D30A5"/>
    <w:rsid w:val="1A9210DE"/>
    <w:rsid w:val="1C3A718F"/>
    <w:rsid w:val="1D0E6271"/>
    <w:rsid w:val="1E995A6B"/>
    <w:rsid w:val="205F020B"/>
    <w:rsid w:val="25630467"/>
    <w:rsid w:val="262C11AD"/>
    <w:rsid w:val="264D6D44"/>
    <w:rsid w:val="274A49E9"/>
    <w:rsid w:val="29796396"/>
    <w:rsid w:val="2CE76254"/>
    <w:rsid w:val="2D34414E"/>
    <w:rsid w:val="2F5A6DBC"/>
    <w:rsid w:val="30BD4AC6"/>
    <w:rsid w:val="30DD6F16"/>
    <w:rsid w:val="316F691B"/>
    <w:rsid w:val="34F76C36"/>
    <w:rsid w:val="37D130D6"/>
    <w:rsid w:val="38822413"/>
    <w:rsid w:val="39481A9A"/>
    <w:rsid w:val="3B9823B7"/>
    <w:rsid w:val="3E3770BC"/>
    <w:rsid w:val="3EAF1EBE"/>
    <w:rsid w:val="400A0C2B"/>
    <w:rsid w:val="404B0715"/>
    <w:rsid w:val="42650422"/>
    <w:rsid w:val="43AA712C"/>
    <w:rsid w:val="4852620B"/>
    <w:rsid w:val="48AE77F9"/>
    <w:rsid w:val="49916AB0"/>
    <w:rsid w:val="4A1D17C2"/>
    <w:rsid w:val="4C793B3F"/>
    <w:rsid w:val="4D6E11CA"/>
    <w:rsid w:val="4E02772B"/>
    <w:rsid w:val="4F664D9F"/>
    <w:rsid w:val="4F7E26BC"/>
    <w:rsid w:val="508431D1"/>
    <w:rsid w:val="50A373DC"/>
    <w:rsid w:val="52543B4B"/>
    <w:rsid w:val="53193986"/>
    <w:rsid w:val="53B546F8"/>
    <w:rsid w:val="577F2AA1"/>
    <w:rsid w:val="57F435E4"/>
    <w:rsid w:val="581035A9"/>
    <w:rsid w:val="58374651"/>
    <w:rsid w:val="595125A3"/>
    <w:rsid w:val="5A5B7F3B"/>
    <w:rsid w:val="5C3A6E47"/>
    <w:rsid w:val="5EB033F0"/>
    <w:rsid w:val="608B2DCE"/>
    <w:rsid w:val="61D858B1"/>
    <w:rsid w:val="625E7ACB"/>
    <w:rsid w:val="63B82D47"/>
    <w:rsid w:val="67A63303"/>
    <w:rsid w:val="68343DB1"/>
    <w:rsid w:val="6AB0617B"/>
    <w:rsid w:val="713F7586"/>
    <w:rsid w:val="72D75DC2"/>
    <w:rsid w:val="74753B7F"/>
    <w:rsid w:val="74FB6702"/>
    <w:rsid w:val="7A073341"/>
    <w:rsid w:val="7AC55F85"/>
    <w:rsid w:val="7B7A6D7B"/>
    <w:rsid w:val="7CEA75F4"/>
    <w:rsid w:val="7D20578D"/>
    <w:rsid w:val="7E271D1B"/>
    <w:rsid w:val="7F9D2CB2"/>
    <w:rsid w:val="7FE740F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2">
    <w:name w:val="Normal (Web)"/>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table" w:styleId="14">
    <w:name w:val="Table Grid"/>
    <w:basedOn w:val="13"/>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Hyperlink"/>
    <w:qFormat/>
    <w:uiPriority w:val="0"/>
    <w:rPr>
      <w:color w:val="0000FF"/>
      <w:u w:val="single"/>
    </w:rPr>
  </w:style>
  <w:style w:type="character" w:customStyle="1" w:styleId="18">
    <w:name w:val="font01"/>
    <w:basedOn w:val="15"/>
    <w:qFormat/>
    <w:uiPriority w:val="0"/>
    <w:rPr>
      <w:rFonts w:hint="default" w:ascii="Times New Roman" w:hAnsi="Times New Roman" w:cs="Times New Roman"/>
      <w:color w:val="393939"/>
      <w:sz w:val="22"/>
      <w:szCs w:val="22"/>
      <w:u w:val="none"/>
    </w:rPr>
  </w:style>
  <w:style w:type="paragraph" w:customStyle="1" w:styleId="19">
    <w:name w:val=" Char Char Char1 Char Char Char3 Char Char Char Char"/>
    <w:basedOn w:val="1"/>
    <w:qFormat/>
    <w:uiPriority w:val="0"/>
    <w:rPr>
      <w:rFonts w:ascii="Tahoma" w:hAnsi="Tahoma"/>
    </w:rPr>
  </w:style>
  <w:style w:type="paragraph" w:customStyle="1" w:styleId="20">
    <w:name w:val=" Char Char Char1 Char Char Char Char Char Char Char Char Char Char"/>
    <w:basedOn w:val="1"/>
    <w:qFormat/>
    <w:uiPriority w:val="0"/>
    <w:rPr>
      <w:rFonts w:ascii="Tahoma" w:hAnsi="Tahoma"/>
    </w:rPr>
  </w:style>
  <w:style w:type="paragraph" w:customStyle="1" w:styleId="21">
    <w:name w:val="_Style 8"/>
    <w:basedOn w:val="1"/>
    <w:qFormat/>
    <w:uiPriority w:val="0"/>
    <w:rPr>
      <w:rFonts w:ascii="Tahoma" w:hAnsi="Tahoma"/>
    </w:rPr>
  </w:style>
  <w:style w:type="paragraph" w:customStyle="1" w:styleId="22">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wisdri</Company>
  <Pages>5</Pages>
  <Words>1555</Words>
  <Characters>1755</Characters>
  <Lines>16</Lines>
  <Paragraphs>4</Paragraphs>
  <TotalTime>4</TotalTime>
  <ScaleCrop>false</ScaleCrop>
  <LinksUpToDate>false</LinksUpToDate>
  <CharactersWithSpaces>1896</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往事</cp:lastModifiedBy>
  <cp:lastPrinted>2010-06-13T03:59:00Z</cp:lastPrinted>
  <dcterms:modified xsi:type="dcterms:W3CDTF">2026-03-06T03:14:25Z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842F580E3FF64054A307D88C282C7332_13</vt:lpwstr>
  </property>
  <property fmtid="{D5CDD505-2E9C-101B-9397-08002B2CF9AE}" pid="4" name="KSOTemplateDocerSaveRecord">
    <vt:lpwstr>eyJoZGlkIjoiZmRmZGQ3ZTk2OWNjMzdkMDg5YmQ2MWM0YzI3ZGM5OTYiLCJ1c2VySWQiOiIxNjQ4MzQ0MTk5In0=</vt:lpwstr>
  </property>
</Properties>
</file>